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0EFA" w14:textId="77777777" w:rsidR="007715BE" w:rsidRPr="007715BE" w:rsidRDefault="007715BE" w:rsidP="0081711E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EF3B7" w14:textId="138CA52C" w:rsidR="005454A4" w:rsidRDefault="005454A4" w:rsidP="0081711E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81711E">
        <w:rPr>
          <w:rFonts w:ascii="Arial" w:hAnsi="Arial" w:cs="Arial"/>
          <w:b/>
          <w:bCs/>
          <w:sz w:val="28"/>
          <w:szCs w:val="28"/>
        </w:rPr>
        <w:t xml:space="preserve">PSIRF – Criteria for </w:t>
      </w:r>
      <w:r w:rsidR="00BC24BB">
        <w:rPr>
          <w:rFonts w:ascii="Arial" w:hAnsi="Arial" w:cs="Arial"/>
          <w:b/>
          <w:bCs/>
          <w:sz w:val="28"/>
          <w:szCs w:val="28"/>
        </w:rPr>
        <w:t>Small Provider Revised Incident/PSIRF Policy</w:t>
      </w:r>
      <w:r w:rsidR="007715BE">
        <w:rPr>
          <w:rFonts w:ascii="Arial" w:hAnsi="Arial" w:cs="Arial"/>
          <w:b/>
          <w:bCs/>
          <w:sz w:val="28"/>
          <w:szCs w:val="28"/>
        </w:rPr>
        <w:t xml:space="preserve"> Sign Off</w:t>
      </w:r>
    </w:p>
    <w:p w14:paraId="64E8CD43" w14:textId="77777777" w:rsidR="007715BE" w:rsidRPr="007715BE" w:rsidRDefault="007715BE" w:rsidP="007715BE">
      <w:pPr>
        <w:rPr>
          <w:sz w:val="4"/>
          <w:szCs w:val="4"/>
        </w:rPr>
      </w:pPr>
    </w:p>
    <w:tbl>
      <w:tblPr>
        <w:tblStyle w:val="GridTable5Dark-Accent3"/>
        <w:tblW w:w="10768" w:type="dxa"/>
        <w:tblLook w:val="0480" w:firstRow="0" w:lastRow="0" w:firstColumn="1" w:lastColumn="0" w:noHBand="0" w:noVBand="1"/>
      </w:tblPr>
      <w:tblGrid>
        <w:gridCol w:w="3256"/>
        <w:gridCol w:w="7512"/>
      </w:tblGrid>
      <w:tr w:rsidR="005454A4" w14:paraId="580B7EED" w14:textId="77777777" w:rsidTr="007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2126FDF2" w14:textId="51AEAE04" w:rsidR="005454A4" w:rsidRPr="007715BE" w:rsidRDefault="005454A4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Provider</w:t>
            </w:r>
          </w:p>
        </w:tc>
        <w:tc>
          <w:tcPr>
            <w:tcW w:w="7512" w:type="dxa"/>
          </w:tcPr>
          <w:p w14:paraId="6FE8FBA9" w14:textId="745B157E" w:rsidR="005454A4" w:rsidRDefault="00AA6780" w:rsidP="005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</w:tr>
      <w:tr w:rsidR="002C7CBA" w14:paraId="5066E197" w14:textId="77777777" w:rsidTr="0077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4A3BEC27" w14:textId="4D32E976" w:rsidR="002C7CBA" w:rsidRPr="007715BE" w:rsidRDefault="00E17382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Reviewers</w:t>
            </w:r>
          </w:p>
        </w:tc>
        <w:tc>
          <w:tcPr>
            <w:tcW w:w="7512" w:type="dxa"/>
          </w:tcPr>
          <w:p w14:paraId="77DF665C" w14:textId="09A7B105" w:rsidR="002C7CBA" w:rsidRDefault="00AA6780" w:rsidP="00545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McEwe, Quality Lead Nurse</w:t>
            </w:r>
          </w:p>
        </w:tc>
      </w:tr>
      <w:tr w:rsidR="005454A4" w14:paraId="177ACA70" w14:textId="77777777" w:rsidTr="007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4C111FBE" w14:textId="022DA0D9" w:rsidR="005454A4" w:rsidRPr="007715BE" w:rsidRDefault="005454A4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Date of Submission</w:t>
            </w:r>
          </w:p>
        </w:tc>
        <w:tc>
          <w:tcPr>
            <w:tcW w:w="7512" w:type="dxa"/>
          </w:tcPr>
          <w:p w14:paraId="47FB871A" w14:textId="60EFE058" w:rsidR="005454A4" w:rsidRDefault="00AA6780" w:rsidP="005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26/03/2024</w:t>
            </w:r>
          </w:p>
        </w:tc>
      </w:tr>
      <w:tr w:rsidR="005454A4" w14:paraId="665FD76E" w14:textId="77777777" w:rsidTr="0077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5CB4E3EE" w14:textId="5A8E43D2" w:rsidR="005454A4" w:rsidRPr="007715BE" w:rsidRDefault="005454A4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Date of Review</w:t>
            </w:r>
          </w:p>
        </w:tc>
        <w:tc>
          <w:tcPr>
            <w:tcW w:w="7512" w:type="dxa"/>
          </w:tcPr>
          <w:p w14:paraId="229918F9" w14:textId="2DA5C1EC" w:rsidR="005454A4" w:rsidRDefault="00AA6780" w:rsidP="00545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27/03/2024</w:t>
            </w:r>
          </w:p>
        </w:tc>
      </w:tr>
      <w:tr w:rsidR="0081711E" w14:paraId="417CEA5D" w14:textId="77777777" w:rsidTr="007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04E76CFC" w14:textId="1D3AFA5E" w:rsidR="0081711E" w:rsidRPr="007715BE" w:rsidRDefault="0081711E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PSS</w:t>
            </w:r>
            <w:r w:rsidR="00BC24BB">
              <w:rPr>
                <w:color w:val="auto"/>
                <w:sz w:val="24"/>
                <w:szCs w:val="24"/>
              </w:rPr>
              <w:t xml:space="preserve">/Quality Manager </w:t>
            </w:r>
            <w:r w:rsidR="00BC24BB" w:rsidRPr="00BC24BB">
              <w:rPr>
                <w:color w:val="auto"/>
                <w:sz w:val="24"/>
                <w:szCs w:val="24"/>
              </w:rPr>
              <w:t>review</w:t>
            </w:r>
          </w:p>
        </w:tc>
        <w:tc>
          <w:tcPr>
            <w:tcW w:w="7512" w:type="dxa"/>
          </w:tcPr>
          <w:p w14:paraId="3D4CAC5B" w14:textId="55127D43" w:rsidR="0081711E" w:rsidRDefault="00907B2A" w:rsidP="0054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Discussed with Karen Flitton, Patient Safety Specialist</w:t>
            </w:r>
          </w:p>
        </w:tc>
      </w:tr>
      <w:tr w:rsidR="005454A4" w14:paraId="3953EBB0" w14:textId="77777777" w:rsidTr="00771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</w:tcPr>
          <w:p w14:paraId="3C587E07" w14:textId="14AE0320" w:rsidR="005454A4" w:rsidRPr="007715BE" w:rsidRDefault="005454A4" w:rsidP="005454A4">
            <w:pPr>
              <w:rPr>
                <w:color w:val="auto"/>
                <w:sz w:val="24"/>
                <w:szCs w:val="24"/>
              </w:rPr>
            </w:pPr>
            <w:r w:rsidRPr="007715BE">
              <w:rPr>
                <w:color w:val="auto"/>
                <w:sz w:val="24"/>
                <w:szCs w:val="24"/>
              </w:rPr>
              <w:t>Recommendation</w:t>
            </w:r>
          </w:p>
        </w:tc>
        <w:tc>
          <w:tcPr>
            <w:tcW w:w="7512" w:type="dxa"/>
          </w:tcPr>
          <w:p w14:paraId="3574736D" w14:textId="74E0AA96" w:rsidR="005454A4" w:rsidRDefault="00907B2A" w:rsidP="00545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1800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7382">
              <w:t xml:space="preserve">Support approval </w:t>
            </w:r>
            <w:r w:rsidR="0081711E">
              <w:t>of policy</w:t>
            </w:r>
          </w:p>
          <w:p w14:paraId="29E7B693" w14:textId="6DF4C321" w:rsidR="005454A4" w:rsidRDefault="00907B2A" w:rsidP="00545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057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1E">
              <w:t>Not approved</w:t>
            </w:r>
            <w:r w:rsidR="005454A4">
              <w:t xml:space="preserve"> – further information or amendments required</w:t>
            </w:r>
          </w:p>
        </w:tc>
      </w:tr>
    </w:tbl>
    <w:p w14:paraId="05301C74" w14:textId="77777777" w:rsidR="0081711E" w:rsidRPr="0081711E" w:rsidRDefault="0081711E" w:rsidP="005454A4">
      <w:pPr>
        <w:rPr>
          <w:rFonts w:ascii="Arial" w:hAnsi="Arial"/>
          <w:sz w:val="4"/>
          <w:szCs w:val="4"/>
        </w:rPr>
      </w:pPr>
    </w:p>
    <w:p w14:paraId="50AE3D07" w14:textId="45C81732" w:rsidR="00E17382" w:rsidRPr="006356CF" w:rsidRDefault="00E17382" w:rsidP="007715BE">
      <w:pPr>
        <w:jc w:val="both"/>
        <w:rPr>
          <w:rFonts w:ascii="Arial" w:hAnsi="Arial"/>
          <w:sz w:val="24"/>
          <w:szCs w:val="24"/>
        </w:rPr>
      </w:pPr>
      <w:r w:rsidRPr="006356CF">
        <w:rPr>
          <w:rFonts w:ascii="Arial" w:hAnsi="Arial"/>
          <w:sz w:val="24"/>
          <w:szCs w:val="24"/>
        </w:rPr>
        <w:t>The ICB process for managing the sign off</w:t>
      </w:r>
      <w:r w:rsidR="00BC105C">
        <w:rPr>
          <w:rFonts w:ascii="Arial" w:hAnsi="Arial"/>
          <w:sz w:val="24"/>
          <w:szCs w:val="24"/>
        </w:rPr>
        <w:t>,</w:t>
      </w:r>
      <w:r w:rsidRPr="006356CF">
        <w:rPr>
          <w:rFonts w:ascii="Arial" w:hAnsi="Arial"/>
          <w:sz w:val="24"/>
          <w:szCs w:val="24"/>
        </w:rPr>
        <w:t xml:space="preserve"> of provider Patient Safety Incident Response </w:t>
      </w:r>
      <w:r w:rsidR="0081711E" w:rsidRPr="006356CF">
        <w:rPr>
          <w:rFonts w:ascii="Arial" w:hAnsi="Arial"/>
          <w:sz w:val="24"/>
          <w:szCs w:val="24"/>
        </w:rPr>
        <w:t>(PSIRP)</w:t>
      </w:r>
      <w:r w:rsidRPr="006356CF">
        <w:rPr>
          <w:rFonts w:ascii="Arial" w:hAnsi="Arial"/>
          <w:sz w:val="24"/>
          <w:szCs w:val="24"/>
        </w:rPr>
        <w:t xml:space="preserve"> Policy </w:t>
      </w:r>
      <w:r w:rsidR="00BC24BB">
        <w:rPr>
          <w:rFonts w:ascii="Arial" w:hAnsi="Arial"/>
          <w:sz w:val="24"/>
          <w:szCs w:val="24"/>
        </w:rPr>
        <w:t xml:space="preserve">for small providers who have been identified as only requiring changes to their incident policy </w:t>
      </w:r>
      <w:r w:rsidRPr="006356CF">
        <w:rPr>
          <w:rFonts w:ascii="Arial" w:hAnsi="Arial"/>
          <w:sz w:val="24"/>
          <w:szCs w:val="24"/>
        </w:rPr>
        <w:t xml:space="preserve">should be followed. The review </w:t>
      </w:r>
      <w:r w:rsidR="00644138">
        <w:rPr>
          <w:rFonts w:ascii="Arial" w:hAnsi="Arial"/>
          <w:sz w:val="24"/>
          <w:szCs w:val="24"/>
        </w:rPr>
        <w:t>team</w:t>
      </w:r>
      <w:r w:rsidRPr="006356CF">
        <w:rPr>
          <w:rFonts w:ascii="Arial" w:hAnsi="Arial"/>
          <w:sz w:val="24"/>
          <w:szCs w:val="24"/>
        </w:rPr>
        <w:t xml:space="preserve"> should assess if the policy meet</w:t>
      </w:r>
      <w:r w:rsidR="00BC24BB">
        <w:rPr>
          <w:rFonts w:ascii="Arial" w:hAnsi="Arial"/>
          <w:sz w:val="24"/>
          <w:szCs w:val="24"/>
        </w:rPr>
        <w:t>s</w:t>
      </w:r>
      <w:r w:rsidRPr="006356CF">
        <w:rPr>
          <w:rFonts w:ascii="Arial" w:hAnsi="Arial"/>
          <w:sz w:val="24"/>
          <w:szCs w:val="24"/>
        </w:rPr>
        <w:t xml:space="preserve"> the required standards. Ultimately the </w:t>
      </w:r>
      <w:r w:rsidRPr="006356CF">
        <w:rPr>
          <w:rFonts w:ascii="Arial" w:hAnsi="Arial"/>
          <w:b/>
          <w:bCs/>
          <w:sz w:val="24"/>
          <w:szCs w:val="24"/>
        </w:rPr>
        <w:t>policy</w:t>
      </w:r>
      <w:r w:rsidRPr="006356CF">
        <w:rPr>
          <w:rFonts w:ascii="Arial" w:hAnsi="Arial"/>
          <w:sz w:val="24"/>
          <w:szCs w:val="24"/>
        </w:rPr>
        <w:t xml:space="preserve"> should describe the provider’s approach to responding to patient safety incidents for the purpose of learning and improvements</w:t>
      </w:r>
      <w:r w:rsidR="00BC24BB">
        <w:rPr>
          <w:rFonts w:ascii="Arial" w:hAnsi="Arial"/>
          <w:sz w:val="24"/>
          <w:szCs w:val="24"/>
        </w:rPr>
        <w:t xml:space="preserve"> and </w:t>
      </w:r>
      <w:r w:rsidRPr="006356CF">
        <w:rPr>
          <w:rFonts w:ascii="Arial" w:hAnsi="Arial"/>
          <w:sz w:val="24"/>
          <w:szCs w:val="24"/>
        </w:rPr>
        <w:t>the methods it will use to respond in a way to maximise learning and improvement. The “criteria” below are intended to guide thinking and form an understanding if the requirements have been met.</w:t>
      </w:r>
    </w:p>
    <w:p w14:paraId="11F360EE" w14:textId="0C032953" w:rsidR="00E17382" w:rsidRPr="006356CF" w:rsidRDefault="00E17382" w:rsidP="00BC24BB">
      <w:pPr>
        <w:jc w:val="both"/>
        <w:rPr>
          <w:rFonts w:ascii="Arial" w:hAnsi="Arial" w:cs="Arial"/>
          <w:sz w:val="24"/>
          <w:szCs w:val="24"/>
        </w:rPr>
      </w:pPr>
      <w:r w:rsidRPr="006356CF">
        <w:rPr>
          <w:rFonts w:ascii="Arial" w:hAnsi="Arial"/>
          <w:sz w:val="24"/>
          <w:szCs w:val="24"/>
        </w:rPr>
        <w:t xml:space="preserve">Ultimately, once the policy </w:t>
      </w:r>
      <w:r w:rsidR="00BC24BB">
        <w:rPr>
          <w:rFonts w:ascii="Arial" w:hAnsi="Arial"/>
          <w:sz w:val="24"/>
          <w:szCs w:val="24"/>
        </w:rPr>
        <w:t>is</w:t>
      </w:r>
      <w:r w:rsidRPr="006356CF">
        <w:rPr>
          <w:rFonts w:ascii="Arial" w:hAnsi="Arial"/>
          <w:sz w:val="24"/>
          <w:szCs w:val="24"/>
        </w:rPr>
        <w:t xml:space="preserve"> </w:t>
      </w:r>
      <w:r w:rsidR="00BC24BB">
        <w:rPr>
          <w:rFonts w:ascii="Arial" w:hAnsi="Arial"/>
          <w:sz w:val="24"/>
          <w:szCs w:val="24"/>
        </w:rPr>
        <w:t>approved</w:t>
      </w:r>
      <w:r w:rsidR="00644138">
        <w:rPr>
          <w:rFonts w:ascii="Arial" w:hAnsi="Arial"/>
          <w:sz w:val="24"/>
          <w:szCs w:val="24"/>
        </w:rPr>
        <w:t xml:space="preserve"> by the ICB</w:t>
      </w:r>
      <w:r w:rsidR="0081711E" w:rsidRPr="006356CF">
        <w:rPr>
          <w:rFonts w:ascii="Arial" w:hAnsi="Arial"/>
          <w:sz w:val="24"/>
          <w:szCs w:val="24"/>
        </w:rPr>
        <w:t>,</w:t>
      </w:r>
      <w:r w:rsidRPr="006356CF">
        <w:rPr>
          <w:rFonts w:ascii="Arial" w:hAnsi="Arial"/>
          <w:sz w:val="24"/>
          <w:szCs w:val="24"/>
        </w:rPr>
        <w:t xml:space="preserve"> </w:t>
      </w:r>
      <w:r w:rsidR="00BC24BB">
        <w:rPr>
          <w:rFonts w:ascii="Arial" w:hAnsi="Arial"/>
          <w:sz w:val="24"/>
          <w:szCs w:val="24"/>
        </w:rPr>
        <w:t>it</w:t>
      </w:r>
      <w:r w:rsidRPr="006356CF">
        <w:rPr>
          <w:rFonts w:ascii="Arial" w:hAnsi="Arial"/>
          <w:sz w:val="24"/>
          <w:szCs w:val="24"/>
        </w:rPr>
        <w:t xml:space="preserve"> can be submitted </w:t>
      </w:r>
      <w:r w:rsidR="00BC24BB">
        <w:rPr>
          <w:rFonts w:ascii="Arial" w:hAnsi="Arial"/>
          <w:sz w:val="24"/>
          <w:szCs w:val="24"/>
        </w:rPr>
        <w:t>for approval within the organisation via their own internal policy sign off processes.</w:t>
      </w:r>
    </w:p>
    <w:p w14:paraId="29B1B60C" w14:textId="65BED996" w:rsidR="005454A4" w:rsidRDefault="00BC24BB" w:rsidP="009D5835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PSIRF/Revised Incident</w:t>
      </w:r>
      <w:r w:rsidR="005454A4" w:rsidRPr="0081711E">
        <w:rPr>
          <w:rFonts w:ascii="Arial" w:hAnsi="Arial" w:cs="Arial"/>
          <w:sz w:val="28"/>
          <w:szCs w:val="28"/>
        </w:rPr>
        <w:t xml:space="preserve"> Policy</w:t>
      </w:r>
    </w:p>
    <w:p w14:paraId="65AE2CA0" w14:textId="77777777" w:rsidR="00545E10" w:rsidRPr="00545E10" w:rsidRDefault="00545E10" w:rsidP="00545E10"/>
    <w:tbl>
      <w:tblPr>
        <w:tblStyle w:val="ListTable4-Accent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827"/>
      </w:tblGrid>
      <w:tr w:rsidR="00B91107" w:rsidRPr="0081711E" w14:paraId="712DA077" w14:textId="77777777" w:rsidTr="0002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A1BB49" w14:textId="77777777" w:rsidR="00B91107" w:rsidRPr="0081711E" w:rsidRDefault="00B91107" w:rsidP="004446B2">
            <w:pPr>
              <w:rPr>
                <w:rFonts w:ascii="Arial" w:hAnsi="Arial" w:cs="Arial"/>
                <w:b w:val="0"/>
                <w:bCs w:val="0"/>
              </w:rPr>
            </w:pPr>
            <w:r w:rsidRPr="0081711E">
              <w:rPr>
                <w:rFonts w:ascii="Arial" w:hAnsi="Arial" w:cs="Arial"/>
                <w:b w:val="0"/>
                <w:bCs w:val="0"/>
              </w:rPr>
              <w:t>Criteria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0306ED" w14:textId="77777777" w:rsidR="00B91107" w:rsidRPr="0081711E" w:rsidRDefault="00B91107" w:rsidP="00444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81711E">
              <w:rPr>
                <w:rFonts w:ascii="Arial" w:hAnsi="Arial" w:cs="Arial"/>
                <w:b w:val="0"/>
                <w:bCs w:val="0"/>
              </w:rPr>
              <w:t>Comments</w:t>
            </w:r>
          </w:p>
        </w:tc>
      </w:tr>
      <w:tr w:rsidR="00221556" w:rsidRPr="00BC105C" w14:paraId="35CCB62A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D2968A" w14:textId="6CA94781" w:rsidR="00221556" w:rsidRPr="00221556" w:rsidRDefault="00221556" w:rsidP="004446B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215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Removal of all references to Serious Incidents from original policy.</w:t>
            </w:r>
          </w:p>
        </w:tc>
        <w:tc>
          <w:tcPr>
            <w:tcW w:w="3827" w:type="dxa"/>
          </w:tcPr>
          <w:p w14:paraId="41E62957" w14:textId="5056629D" w:rsidR="00221556" w:rsidRPr="00BC105C" w:rsidRDefault="00AA6780" w:rsidP="00444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AA6780" w:rsidRPr="00BC105C" w14:paraId="3FA86887" w14:textId="77777777" w:rsidTr="0002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0B9BE6E" w14:textId="3EFE33CA" w:rsidR="00AA6780" w:rsidRPr="00221556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31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 understanding of who will review significant incidents of moderate or greater harm for a proportionate response and making sure they involve the ICB in that discussion</w:t>
            </w:r>
            <w:r w:rsidRPr="002215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0CB3B22" w14:textId="4AE6D0D5" w:rsidR="00AA6780" w:rsidRPr="00BC105C" w:rsidRDefault="00AA6780" w:rsidP="00AA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3C447070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5A1A24" w14:textId="0110DD3A" w:rsidR="00AA6780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215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role of Partnership working and collaboration within the patient safety incident response policy is defined.</w:t>
            </w:r>
          </w:p>
        </w:tc>
        <w:tc>
          <w:tcPr>
            <w:tcW w:w="3827" w:type="dxa"/>
          </w:tcPr>
          <w:p w14:paraId="11A9DB08" w14:textId="13E6663B" w:rsidR="00AA6780" w:rsidRPr="00BC105C" w:rsidRDefault="00AA6780" w:rsidP="00AA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18358EB7" w14:textId="77777777" w:rsidTr="0002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12948EA" w14:textId="1EFF2AFF" w:rsidR="00AA6780" w:rsidRPr="00644138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441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process for reporting cross-organisational or cross-system issues is defined, and in line with local arrangements with the ICB.</w:t>
            </w:r>
          </w:p>
        </w:tc>
        <w:tc>
          <w:tcPr>
            <w:tcW w:w="3827" w:type="dxa"/>
          </w:tcPr>
          <w:p w14:paraId="07DF2FB3" w14:textId="08EC99AA" w:rsidR="00AA6780" w:rsidRPr="00BC105C" w:rsidRDefault="00AA6780" w:rsidP="00AA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7289FEB4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354D78E" w14:textId="1B36BDFB" w:rsidR="00AA6780" w:rsidRPr="00221556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</w:t>
            </w:r>
            <w:r w:rsidRPr="002215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eference to regular review of incident reporting portfolio (12-24 months etc), so if it increases then the provider will need to consider if they need to pull together a response plan.</w:t>
            </w:r>
          </w:p>
        </w:tc>
        <w:tc>
          <w:tcPr>
            <w:tcW w:w="3827" w:type="dxa"/>
          </w:tcPr>
          <w:p w14:paraId="28DE4857" w14:textId="3797BD40" w:rsidR="00AA6780" w:rsidRPr="00BC105C" w:rsidRDefault="00AA6780" w:rsidP="00AA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t>Date of policy review given</w:t>
            </w:r>
          </w:p>
        </w:tc>
      </w:tr>
      <w:tr w:rsidR="00AA6780" w:rsidRPr="00BC105C" w14:paraId="1027A852" w14:textId="77777777" w:rsidTr="0002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E71E46C" w14:textId="5742F32C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C105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Clear description of the proactive efforts made to promote a positive safety culture, including a reporting culture and a just culture.</w:t>
            </w:r>
          </w:p>
        </w:tc>
        <w:tc>
          <w:tcPr>
            <w:tcW w:w="3827" w:type="dxa"/>
          </w:tcPr>
          <w:p w14:paraId="67FA80AF" w14:textId="7613C3B8" w:rsidR="00AA6780" w:rsidRPr="00BC105C" w:rsidRDefault="00AA6780" w:rsidP="00AA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0EC7202F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76C6296" w14:textId="3439C1FF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C105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Description of how patient safety incident response processes support health equality and reduce inequality.</w:t>
            </w:r>
          </w:p>
        </w:tc>
        <w:tc>
          <w:tcPr>
            <w:tcW w:w="3827" w:type="dxa"/>
          </w:tcPr>
          <w:p w14:paraId="6CF85AFA" w14:textId="6F486240" w:rsidR="00AA6780" w:rsidRPr="00BC105C" w:rsidRDefault="00AA6780" w:rsidP="00AA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5D6F57F8" w14:textId="77777777" w:rsidTr="0002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82A6C31" w14:textId="739D1821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C105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Description of how those affected by a patient safety incident will be supported – this includes patients, families and staff.</w:t>
            </w:r>
          </w:p>
        </w:tc>
        <w:tc>
          <w:tcPr>
            <w:tcW w:w="3827" w:type="dxa"/>
          </w:tcPr>
          <w:p w14:paraId="7B574141" w14:textId="46EE2D8E" w:rsidR="00AA6780" w:rsidRPr="00BC105C" w:rsidRDefault="00AA6780" w:rsidP="00AA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36A56D6B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38E9A97" w14:textId="3E550B2B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C105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Duty of Candour within PSIRF is described.</w:t>
            </w:r>
          </w:p>
        </w:tc>
        <w:tc>
          <w:tcPr>
            <w:tcW w:w="3827" w:type="dxa"/>
          </w:tcPr>
          <w:p w14:paraId="17D3E283" w14:textId="3A56879D" w:rsidR="00AA6780" w:rsidRPr="00BC105C" w:rsidRDefault="00AA6780" w:rsidP="00AA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07D883CE" w14:textId="77777777" w:rsidTr="0002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36373B2" w14:textId="2A425486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Confirmation that appropriate training has been and can be accessed by staff.</w:t>
            </w:r>
          </w:p>
        </w:tc>
        <w:tc>
          <w:tcPr>
            <w:tcW w:w="3827" w:type="dxa"/>
          </w:tcPr>
          <w:p w14:paraId="3DE15076" w14:textId="249D6283" w:rsidR="00AA6780" w:rsidRPr="00BC105C" w:rsidRDefault="00AA6780" w:rsidP="00AA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  <w:tr w:rsidR="00AA6780" w:rsidRPr="00BC105C" w14:paraId="02EFBB5E" w14:textId="77777777" w:rsidTr="0002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</w:tcPr>
          <w:p w14:paraId="5A7896D4" w14:textId="223E4CFD" w:rsidR="00AA6780" w:rsidRPr="00BC105C" w:rsidRDefault="00AA6780" w:rsidP="00AA678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C105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Provider’s internal approach to oversight of Patient Safety should be defined – this should include evidence of collaboration &amp; involvement of ICB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87846A" w14:textId="44D8F236" w:rsidR="00AA6780" w:rsidRPr="00BC105C" w:rsidRDefault="00AA6780" w:rsidP="00AA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31AD">
              <w:t>Described in policy</w:t>
            </w:r>
          </w:p>
        </w:tc>
      </w:tr>
    </w:tbl>
    <w:p w14:paraId="1AC4E8E8" w14:textId="77777777" w:rsidR="00644138" w:rsidRDefault="00644138">
      <w:pPr>
        <w:rPr>
          <w:rFonts w:ascii="Arial" w:hAnsi="Arial" w:cs="Arial"/>
        </w:rPr>
      </w:pPr>
    </w:p>
    <w:p w14:paraId="3220B8A5" w14:textId="2C585D2C" w:rsidR="00387327" w:rsidRDefault="00387327">
      <w:pPr>
        <w:rPr>
          <w:rFonts w:ascii="Arial" w:hAnsi="Arial" w:cs="Arial"/>
        </w:rPr>
      </w:pPr>
    </w:p>
    <w:p w14:paraId="54FB228C" w14:textId="41692C3A" w:rsidR="00387327" w:rsidRDefault="00387327">
      <w:pPr>
        <w:rPr>
          <w:rFonts w:ascii="Arial" w:hAnsi="Arial" w:cs="Arial"/>
        </w:rPr>
      </w:pPr>
    </w:p>
    <w:p w14:paraId="7AD27EF7" w14:textId="785DB806" w:rsidR="00387327" w:rsidRDefault="00387327">
      <w:pPr>
        <w:rPr>
          <w:rFonts w:ascii="Arial" w:hAnsi="Arial" w:cs="Arial"/>
        </w:rPr>
      </w:pPr>
    </w:p>
    <w:p w14:paraId="0DB8AB82" w14:textId="77777777" w:rsidR="007715BE" w:rsidRDefault="007715BE" w:rsidP="00387327">
      <w:pPr>
        <w:pStyle w:val="Footer"/>
        <w:rPr>
          <w:i/>
          <w:iCs/>
        </w:rPr>
      </w:pPr>
    </w:p>
    <w:p w14:paraId="3E69A668" w14:textId="42B855CD" w:rsidR="00387327" w:rsidRPr="00387327" w:rsidRDefault="00387327" w:rsidP="00387327">
      <w:pPr>
        <w:pStyle w:val="Footer"/>
        <w:rPr>
          <w:i/>
          <w:iCs/>
        </w:rPr>
      </w:pPr>
    </w:p>
    <w:sectPr w:rsidR="00387327" w:rsidRPr="00387327" w:rsidSect="00545E10">
      <w:headerReference w:type="default" r:id="rId7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9793" w14:textId="77777777" w:rsidR="00ED4954" w:rsidRDefault="00ED4954" w:rsidP="00012C07">
      <w:pPr>
        <w:spacing w:after="0" w:line="240" w:lineRule="auto"/>
      </w:pPr>
      <w:r>
        <w:separator/>
      </w:r>
    </w:p>
  </w:endnote>
  <w:endnote w:type="continuationSeparator" w:id="0">
    <w:p w14:paraId="763EE35E" w14:textId="77777777" w:rsidR="00ED4954" w:rsidRDefault="00ED4954" w:rsidP="0001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746A" w14:textId="77777777" w:rsidR="00ED4954" w:rsidRDefault="00ED4954" w:rsidP="00012C07">
      <w:pPr>
        <w:spacing w:after="0" w:line="240" w:lineRule="auto"/>
      </w:pPr>
      <w:r>
        <w:separator/>
      </w:r>
    </w:p>
  </w:footnote>
  <w:footnote w:type="continuationSeparator" w:id="0">
    <w:p w14:paraId="620A2694" w14:textId="77777777" w:rsidR="00ED4954" w:rsidRDefault="00ED4954" w:rsidP="0001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3445" w14:textId="312CF65E" w:rsidR="00012C07" w:rsidRDefault="007715BE" w:rsidP="007715B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43F27" wp14:editId="24741E47">
              <wp:simplePos x="0" y="0"/>
              <wp:positionH relativeFrom="column">
                <wp:posOffset>5036400</wp:posOffset>
              </wp:positionH>
              <wp:positionV relativeFrom="paragraph">
                <wp:posOffset>-233580</wp:posOffset>
              </wp:positionV>
              <wp:extent cx="1749600" cy="55440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600" cy="55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2322F" w14:textId="50AEBD65" w:rsidR="007715BE" w:rsidRDefault="00BC24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A4AA79" wp14:editId="03C31708">
                                <wp:extent cx="1560195" cy="540385"/>
                                <wp:effectExtent l="0" t="0" r="190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0195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43F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6.55pt;margin-top:-18.4pt;width:137.7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" fillcolor="white [3201]" stroked="f" strokeweight=".5pt">
              <v:textbox>
                <w:txbxContent>
                  <w:p w14:paraId="6CE2322F" w14:textId="50AEBD65" w:rsidR="007715BE" w:rsidRDefault="00BC24BB">
                    <w:r>
                      <w:rPr>
                        <w:noProof/>
                      </w:rPr>
                      <w:drawing>
                        <wp:inline distT="0" distB="0" distL="0" distR="0" wp14:anchorId="5AA4AA79" wp14:editId="03C31708">
                          <wp:extent cx="1560195" cy="540385"/>
                          <wp:effectExtent l="0" t="0" r="190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0195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E250D"/>
    <w:multiLevelType w:val="hybridMultilevel"/>
    <w:tmpl w:val="20B40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96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A4"/>
    <w:rsid w:val="00012C07"/>
    <w:rsid w:val="000231C0"/>
    <w:rsid w:val="001D178D"/>
    <w:rsid w:val="001F382E"/>
    <w:rsid w:val="00221556"/>
    <w:rsid w:val="00232C4E"/>
    <w:rsid w:val="002C7CBA"/>
    <w:rsid w:val="002D484B"/>
    <w:rsid w:val="00320339"/>
    <w:rsid w:val="00386BBE"/>
    <w:rsid w:val="00387327"/>
    <w:rsid w:val="00394353"/>
    <w:rsid w:val="005454A4"/>
    <w:rsid w:val="00545E10"/>
    <w:rsid w:val="006356CF"/>
    <w:rsid w:val="00644138"/>
    <w:rsid w:val="00674BCA"/>
    <w:rsid w:val="007715BE"/>
    <w:rsid w:val="0081711E"/>
    <w:rsid w:val="00882EB7"/>
    <w:rsid w:val="008A6B0B"/>
    <w:rsid w:val="00907B2A"/>
    <w:rsid w:val="009577C0"/>
    <w:rsid w:val="009D5835"/>
    <w:rsid w:val="00A77C2B"/>
    <w:rsid w:val="00AA6780"/>
    <w:rsid w:val="00B91107"/>
    <w:rsid w:val="00BC105C"/>
    <w:rsid w:val="00BC24BB"/>
    <w:rsid w:val="00C306DC"/>
    <w:rsid w:val="00E17382"/>
    <w:rsid w:val="00ED4954"/>
    <w:rsid w:val="00F2046D"/>
    <w:rsid w:val="00FB3CA4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2C0D"/>
  <w15:chartTrackingRefBased/>
  <w15:docId w15:val="{9276BBDF-759F-427C-AF17-3561DAA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5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5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454A4"/>
    <w:rPr>
      <w:color w:val="808080"/>
    </w:rPr>
  </w:style>
  <w:style w:type="table" w:styleId="ListTable4">
    <w:name w:val="List Table 4"/>
    <w:basedOn w:val="TableNormal"/>
    <w:uiPriority w:val="49"/>
    <w:rsid w:val="00545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5454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5454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39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39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E1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7"/>
  </w:style>
  <w:style w:type="paragraph" w:styleId="Footer">
    <w:name w:val="footer"/>
    <w:basedOn w:val="Normal"/>
    <w:link w:val="FooterChar"/>
    <w:uiPriority w:val="99"/>
    <w:unhideWhenUsed/>
    <w:rsid w:val="0001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Liam (NHS BUCKINGHAMSHIRE, OXFORDSHIRE AND BERKSHIRE WEST ICB - 10Q)</dc:creator>
  <cp:keywords/>
  <dc:description/>
  <cp:lastModifiedBy>MCEWEN, Steve (NHS MID AND SOUTH ESSEX ICB - 06Q)</cp:lastModifiedBy>
  <cp:revision>4</cp:revision>
  <dcterms:created xsi:type="dcterms:W3CDTF">2023-08-09T14:39:00Z</dcterms:created>
  <dcterms:modified xsi:type="dcterms:W3CDTF">2024-03-28T08:08:00Z</dcterms:modified>
</cp:coreProperties>
</file>